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27" w:rsidRDefault="00202927" w:rsidP="006931D5">
      <w:pPr>
        <w:spacing w:after="0" w:line="240" w:lineRule="auto"/>
        <w:jc w:val="center"/>
        <w:rPr>
          <w:b/>
          <w:sz w:val="44"/>
          <w:szCs w:val="44"/>
        </w:rPr>
      </w:pPr>
    </w:p>
    <w:p w:rsidR="00D35DA1" w:rsidRPr="00202927" w:rsidRDefault="002D629F" w:rsidP="006931D5">
      <w:pPr>
        <w:spacing w:after="0" w:line="240" w:lineRule="auto"/>
        <w:jc w:val="center"/>
        <w:rPr>
          <w:b/>
          <w:sz w:val="44"/>
          <w:szCs w:val="44"/>
        </w:rPr>
      </w:pPr>
      <w:r w:rsidRPr="00202927">
        <w:rPr>
          <w:b/>
          <w:sz w:val="44"/>
          <w:szCs w:val="44"/>
        </w:rPr>
        <w:t>Provisional</w:t>
      </w:r>
      <w:r w:rsidR="00D35DA1" w:rsidRPr="00202927">
        <w:rPr>
          <w:b/>
          <w:sz w:val="44"/>
          <w:szCs w:val="44"/>
        </w:rPr>
        <w:t xml:space="preserve"> Events Notification Form</w:t>
      </w:r>
    </w:p>
    <w:p w:rsidR="006931D5" w:rsidRDefault="006931D5" w:rsidP="006931D5">
      <w:pPr>
        <w:spacing w:after="0" w:line="240" w:lineRule="auto"/>
        <w:jc w:val="center"/>
        <w:rPr>
          <w:b/>
          <w:sz w:val="32"/>
          <w:szCs w:val="32"/>
        </w:rPr>
      </w:pPr>
    </w:p>
    <w:p w:rsidR="00982D38" w:rsidRPr="000D0668" w:rsidRDefault="00982D38" w:rsidP="000D0668">
      <w:pPr>
        <w:spacing w:after="0" w:line="240" w:lineRule="auto"/>
        <w:jc w:val="both"/>
        <w:rPr>
          <w:b/>
          <w:sz w:val="24"/>
          <w:szCs w:val="24"/>
        </w:rPr>
      </w:pPr>
      <w:r w:rsidRPr="000D0668">
        <w:rPr>
          <w:b/>
          <w:sz w:val="24"/>
          <w:szCs w:val="24"/>
        </w:rPr>
        <w:t>This form should be completed and your intended route should be marked on a map.  This information should be return</w:t>
      </w:r>
      <w:r w:rsidR="000D0668" w:rsidRPr="000D0668">
        <w:rPr>
          <w:b/>
          <w:sz w:val="24"/>
          <w:szCs w:val="24"/>
        </w:rPr>
        <w:t>ed to the AONB service</w:t>
      </w:r>
      <w:r w:rsidRPr="000D0668">
        <w:rPr>
          <w:b/>
          <w:sz w:val="24"/>
          <w:szCs w:val="24"/>
        </w:rPr>
        <w:t xml:space="preserve"> </w:t>
      </w:r>
      <w:hyperlink r:id="rId9" w:history="1">
        <w:r w:rsidRPr="000D0668">
          <w:rPr>
            <w:rStyle w:val="Hyperlink"/>
            <w:b/>
            <w:sz w:val="24"/>
            <w:szCs w:val="24"/>
          </w:rPr>
          <w:t>quantockhills@somerset.gov.uk</w:t>
        </w:r>
      </w:hyperlink>
      <w:r w:rsidRPr="000D0668">
        <w:rPr>
          <w:b/>
          <w:sz w:val="24"/>
          <w:szCs w:val="24"/>
        </w:rPr>
        <w:t xml:space="preserve"> </w:t>
      </w:r>
      <w:r w:rsidR="005C0FFB" w:rsidRPr="000D0668">
        <w:rPr>
          <w:b/>
          <w:sz w:val="24"/>
          <w:szCs w:val="24"/>
        </w:rPr>
        <w:t xml:space="preserve"> </w:t>
      </w:r>
      <w:r w:rsidRPr="000D0668">
        <w:rPr>
          <w:b/>
          <w:sz w:val="24"/>
          <w:szCs w:val="24"/>
        </w:rPr>
        <w:t>at least 8 weeks before the intended event.</w:t>
      </w:r>
      <w:r w:rsidR="00157897" w:rsidRPr="000D0668">
        <w:rPr>
          <w:b/>
          <w:sz w:val="24"/>
          <w:szCs w:val="24"/>
        </w:rPr>
        <w:t xml:space="preserve">  The AONB advises that you don’t promote/advertise your event until you have the appropriate permissions in place. </w:t>
      </w:r>
    </w:p>
    <w:p w:rsidR="00982D38" w:rsidRPr="000D0668" w:rsidRDefault="00982D38" w:rsidP="002D629F">
      <w:pPr>
        <w:spacing w:after="0" w:line="240" w:lineRule="auto"/>
        <w:rPr>
          <w:sz w:val="40"/>
          <w:szCs w:val="40"/>
        </w:rPr>
      </w:pPr>
    </w:p>
    <w:p w:rsidR="00982D38" w:rsidRPr="000D0668" w:rsidRDefault="00982D38" w:rsidP="002D629F">
      <w:pPr>
        <w:spacing w:after="0" w:line="240" w:lineRule="auto"/>
        <w:rPr>
          <w:b/>
          <w:color w:val="8064A2" w:themeColor="accent4"/>
          <w:sz w:val="40"/>
          <w:szCs w:val="40"/>
        </w:rPr>
      </w:pPr>
      <w:r w:rsidRPr="000D0668">
        <w:rPr>
          <w:b/>
          <w:color w:val="8064A2" w:themeColor="accent4"/>
          <w:sz w:val="40"/>
          <w:szCs w:val="40"/>
        </w:rPr>
        <w:t xml:space="preserve">Please read the information below before completing </w:t>
      </w:r>
    </w:p>
    <w:p w:rsidR="006931D5" w:rsidRDefault="006931D5" w:rsidP="002D629F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D35DA1" w:rsidRDefault="00D35DA1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AONB Service exists </w:t>
      </w:r>
      <w:r w:rsidR="002D629F">
        <w:rPr>
          <w:sz w:val="24"/>
          <w:szCs w:val="24"/>
        </w:rPr>
        <w:t>to help people enjoy the Quantock</w:t>
      </w:r>
      <w:r>
        <w:rPr>
          <w:sz w:val="24"/>
          <w:szCs w:val="24"/>
        </w:rPr>
        <w:t xml:space="preserve"> Hills in a sustainable way and we are happy to meet organisers and help with planning appropriate routes for events.</w:t>
      </w:r>
    </w:p>
    <w:p w:rsidR="002D629F" w:rsidRDefault="002D629F" w:rsidP="002D629F">
      <w:pPr>
        <w:spacing w:after="0" w:line="240" w:lineRule="auto"/>
        <w:rPr>
          <w:sz w:val="24"/>
          <w:szCs w:val="24"/>
        </w:rPr>
      </w:pPr>
    </w:p>
    <w:p w:rsidR="006931D5" w:rsidRDefault="00D35DA1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event organisers should co</w:t>
      </w:r>
      <w:r w:rsidR="002D629F">
        <w:rPr>
          <w:sz w:val="24"/>
          <w:szCs w:val="24"/>
        </w:rPr>
        <w:t>nsider the impact of their activity</w:t>
      </w:r>
      <w:r>
        <w:rPr>
          <w:sz w:val="24"/>
          <w:szCs w:val="24"/>
        </w:rPr>
        <w:t xml:space="preserve"> on the landscape and wildlife of the hills. The AONB Service consults</w:t>
      </w:r>
      <w:r w:rsidR="002D629F">
        <w:rPr>
          <w:sz w:val="24"/>
          <w:szCs w:val="24"/>
        </w:rPr>
        <w:t xml:space="preserve"> with Natural England</w:t>
      </w:r>
      <w:r>
        <w:rPr>
          <w:sz w:val="24"/>
          <w:szCs w:val="24"/>
        </w:rPr>
        <w:t xml:space="preserve"> and acts on behalf of Landowners and the Quantock Hills Joint Advisory Committee to ensure compliance with a </w:t>
      </w:r>
      <w:r w:rsidR="002D629F" w:rsidRPr="002D629F">
        <w:rPr>
          <w:b/>
          <w:i/>
          <w:sz w:val="24"/>
          <w:szCs w:val="24"/>
        </w:rPr>
        <w:t>code of practice</w:t>
      </w:r>
      <w:r>
        <w:rPr>
          <w:sz w:val="24"/>
          <w:szCs w:val="24"/>
        </w:rPr>
        <w:t xml:space="preserve"> for </w:t>
      </w:r>
      <w:r w:rsidR="002D629F">
        <w:rPr>
          <w:sz w:val="24"/>
          <w:szCs w:val="24"/>
        </w:rPr>
        <w:t xml:space="preserve">events. </w:t>
      </w:r>
      <w:r w:rsidR="00B8533D">
        <w:rPr>
          <w:sz w:val="24"/>
          <w:szCs w:val="24"/>
        </w:rPr>
        <w:t>However please note</w:t>
      </w:r>
      <w:proofErr w:type="gramStart"/>
      <w:r w:rsidR="00B8533D">
        <w:rPr>
          <w:sz w:val="24"/>
          <w:szCs w:val="24"/>
        </w:rPr>
        <w:t>,</w:t>
      </w:r>
      <w:proofErr w:type="gramEnd"/>
      <w:r w:rsidR="00B8533D">
        <w:rPr>
          <w:sz w:val="24"/>
          <w:szCs w:val="24"/>
        </w:rPr>
        <w:t xml:space="preserve"> event organisers are still required to independently seek landowner permission. </w:t>
      </w:r>
    </w:p>
    <w:p w:rsidR="006931D5" w:rsidRDefault="006931D5" w:rsidP="002D629F">
      <w:pPr>
        <w:spacing w:after="0" w:line="240" w:lineRule="auto"/>
        <w:rPr>
          <w:sz w:val="24"/>
          <w:szCs w:val="24"/>
        </w:rPr>
      </w:pPr>
    </w:p>
    <w:p w:rsidR="006931D5" w:rsidRDefault="002D629F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brief</w:t>
      </w:r>
      <w:r w:rsidR="00D35DA1">
        <w:rPr>
          <w:sz w:val="24"/>
          <w:szCs w:val="24"/>
        </w:rPr>
        <w:t>, this provides protective measures as follows:</w:t>
      </w:r>
    </w:p>
    <w:p w:rsidR="006931D5" w:rsidRPr="006931D5" w:rsidRDefault="006931D5" w:rsidP="002D629F">
      <w:pPr>
        <w:spacing w:after="0" w:line="240" w:lineRule="auto"/>
        <w:rPr>
          <w:sz w:val="24"/>
          <w:szCs w:val="24"/>
        </w:rPr>
      </w:pPr>
    </w:p>
    <w:p w:rsidR="006931D5" w:rsidRPr="006931D5" w:rsidRDefault="006931D5" w:rsidP="002D629F">
      <w:pPr>
        <w:spacing w:after="0" w:line="240" w:lineRule="auto"/>
        <w:rPr>
          <w:b/>
          <w:sz w:val="24"/>
          <w:szCs w:val="24"/>
        </w:rPr>
      </w:pPr>
      <w:r w:rsidRPr="006931D5">
        <w:rPr>
          <w:b/>
          <w:sz w:val="24"/>
          <w:szCs w:val="24"/>
        </w:rPr>
        <w:t>Group size</w:t>
      </w:r>
    </w:p>
    <w:p w:rsidR="00D35DA1" w:rsidRDefault="00D35DA1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 group of more than 20 individuals will be considered as an event. </w:t>
      </w:r>
    </w:p>
    <w:p w:rsidR="002D629F" w:rsidRDefault="002D629F" w:rsidP="002D629F">
      <w:pPr>
        <w:spacing w:after="0" w:line="240" w:lineRule="auto"/>
        <w:rPr>
          <w:sz w:val="24"/>
          <w:szCs w:val="24"/>
        </w:rPr>
      </w:pPr>
    </w:p>
    <w:p w:rsidR="002D629F" w:rsidRDefault="002D629F" w:rsidP="002D629F">
      <w:pPr>
        <w:spacing w:after="0" w:line="240" w:lineRule="auto"/>
        <w:rPr>
          <w:sz w:val="24"/>
          <w:szCs w:val="24"/>
        </w:rPr>
      </w:pPr>
      <w:r w:rsidRPr="002D629F">
        <w:rPr>
          <w:b/>
          <w:sz w:val="24"/>
          <w:szCs w:val="24"/>
        </w:rPr>
        <w:t xml:space="preserve">Event </w:t>
      </w:r>
      <w:r w:rsidR="00D35DA1" w:rsidRPr="002D629F">
        <w:rPr>
          <w:b/>
          <w:sz w:val="24"/>
          <w:szCs w:val="24"/>
        </w:rPr>
        <w:t>Free June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35DA1">
        <w:rPr>
          <w:sz w:val="24"/>
          <w:szCs w:val="24"/>
        </w:rPr>
        <w:t xml:space="preserve"> </w:t>
      </w:r>
    </w:p>
    <w:p w:rsidR="00D35DA1" w:rsidRDefault="00D35DA1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is the peak bird-nesting and deer calving month. </w:t>
      </w:r>
    </w:p>
    <w:p w:rsidR="002D629F" w:rsidRDefault="002D629F" w:rsidP="002D629F">
      <w:pPr>
        <w:spacing w:after="0" w:line="240" w:lineRule="auto"/>
        <w:rPr>
          <w:b/>
          <w:sz w:val="24"/>
          <w:szCs w:val="24"/>
        </w:rPr>
      </w:pPr>
    </w:p>
    <w:p w:rsidR="002D629F" w:rsidRDefault="00D35DA1" w:rsidP="002D629F">
      <w:pPr>
        <w:spacing w:after="0" w:line="240" w:lineRule="auto"/>
        <w:rPr>
          <w:sz w:val="24"/>
          <w:szCs w:val="24"/>
        </w:rPr>
      </w:pPr>
      <w:r w:rsidRPr="002D629F">
        <w:rPr>
          <w:b/>
          <w:sz w:val="24"/>
          <w:szCs w:val="24"/>
        </w:rPr>
        <w:t>Minimum Disturbance months December and January</w:t>
      </w:r>
      <w:r w:rsidR="002D62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D35DA1" w:rsidRDefault="00D35DA1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Events should avoid the months December and </w:t>
      </w:r>
      <w:r w:rsidR="002D629F">
        <w:rPr>
          <w:sz w:val="24"/>
          <w:szCs w:val="24"/>
        </w:rPr>
        <w:t>January</w:t>
      </w:r>
      <w:r>
        <w:rPr>
          <w:sz w:val="24"/>
          <w:szCs w:val="24"/>
        </w:rPr>
        <w:t xml:space="preserve"> as these are the wettest months of the year, when ground is subject to most erosion. </w:t>
      </w:r>
    </w:p>
    <w:p w:rsidR="002D629F" w:rsidRDefault="002D629F" w:rsidP="002D629F">
      <w:pPr>
        <w:spacing w:after="0" w:line="240" w:lineRule="auto"/>
        <w:ind w:left="2160" w:hanging="2160"/>
        <w:rPr>
          <w:b/>
          <w:sz w:val="24"/>
          <w:szCs w:val="24"/>
        </w:rPr>
      </w:pPr>
    </w:p>
    <w:p w:rsidR="002D629F" w:rsidRDefault="002D629F" w:rsidP="002D629F">
      <w:pPr>
        <w:spacing w:after="0" w:line="240" w:lineRule="auto"/>
        <w:ind w:left="2160" w:hanging="2160"/>
        <w:rPr>
          <w:sz w:val="24"/>
          <w:szCs w:val="24"/>
        </w:rPr>
      </w:pPr>
      <w:r w:rsidRPr="002D629F">
        <w:rPr>
          <w:b/>
          <w:sz w:val="24"/>
          <w:szCs w:val="24"/>
        </w:rPr>
        <w:t xml:space="preserve">Event </w:t>
      </w:r>
      <w:r>
        <w:rPr>
          <w:b/>
          <w:sz w:val="24"/>
          <w:szCs w:val="24"/>
        </w:rPr>
        <w:t>Free D</w:t>
      </w:r>
      <w:r w:rsidR="00D35DA1" w:rsidRPr="002D629F">
        <w:rPr>
          <w:b/>
          <w:sz w:val="24"/>
          <w:szCs w:val="24"/>
        </w:rPr>
        <w:t>ays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2D629F" w:rsidRPr="00964333" w:rsidRDefault="002D629F" w:rsidP="002D62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64333">
        <w:rPr>
          <w:sz w:val="24"/>
          <w:szCs w:val="24"/>
        </w:rPr>
        <w:t>E</w:t>
      </w:r>
      <w:r w:rsidR="00D35DA1" w:rsidRPr="00964333">
        <w:rPr>
          <w:sz w:val="24"/>
          <w:szCs w:val="24"/>
        </w:rPr>
        <w:t>vents should avoid Fridays.  This ensures that the hills</w:t>
      </w:r>
      <w:r w:rsidRPr="00964333">
        <w:rPr>
          <w:sz w:val="24"/>
          <w:szCs w:val="24"/>
        </w:rPr>
        <w:t xml:space="preserve"> are not subjected to continual</w:t>
      </w:r>
      <w:r w:rsidR="00964333">
        <w:rPr>
          <w:sz w:val="24"/>
          <w:szCs w:val="24"/>
        </w:rPr>
        <w:t xml:space="preserve"> </w:t>
      </w:r>
      <w:r w:rsidRPr="00964333">
        <w:rPr>
          <w:sz w:val="24"/>
          <w:szCs w:val="24"/>
        </w:rPr>
        <w:t>human pressure.</w:t>
      </w:r>
    </w:p>
    <w:p w:rsidR="00D35DA1" w:rsidRPr="00964333" w:rsidRDefault="006931D5" w:rsidP="0096433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D35DA1" w:rsidRPr="00964333">
        <w:rPr>
          <w:sz w:val="24"/>
          <w:szCs w:val="24"/>
        </w:rPr>
        <w:t>avoid bank holiday</w:t>
      </w:r>
      <w:r>
        <w:rPr>
          <w:sz w:val="24"/>
          <w:szCs w:val="24"/>
        </w:rPr>
        <w:t>s and bank holiday</w:t>
      </w:r>
      <w:r w:rsidR="00D35DA1" w:rsidRPr="00964333">
        <w:rPr>
          <w:sz w:val="24"/>
          <w:szCs w:val="24"/>
        </w:rPr>
        <w:t xml:space="preserve"> </w:t>
      </w:r>
      <w:r w:rsidR="00FB33B9" w:rsidRPr="00964333">
        <w:rPr>
          <w:sz w:val="24"/>
          <w:szCs w:val="24"/>
        </w:rPr>
        <w:t>weekends</w:t>
      </w:r>
    </w:p>
    <w:p w:rsidR="00FB33B9" w:rsidRPr="00964333" w:rsidRDefault="00FB33B9" w:rsidP="0096433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64333">
        <w:rPr>
          <w:sz w:val="24"/>
          <w:szCs w:val="24"/>
        </w:rPr>
        <w:t>The annual pony round up takes place on the 2</w:t>
      </w:r>
      <w:r w:rsidRPr="00964333">
        <w:rPr>
          <w:sz w:val="24"/>
          <w:szCs w:val="24"/>
          <w:vertAlign w:val="superscript"/>
        </w:rPr>
        <w:t>nd</w:t>
      </w:r>
      <w:r w:rsidRPr="00964333">
        <w:rPr>
          <w:sz w:val="24"/>
          <w:szCs w:val="24"/>
        </w:rPr>
        <w:t xml:space="preserve"> and 3</w:t>
      </w:r>
      <w:r w:rsidRPr="00964333">
        <w:rPr>
          <w:sz w:val="24"/>
          <w:szCs w:val="24"/>
          <w:vertAlign w:val="superscript"/>
        </w:rPr>
        <w:t>rd</w:t>
      </w:r>
      <w:r w:rsidRPr="00964333">
        <w:rPr>
          <w:sz w:val="24"/>
          <w:szCs w:val="24"/>
        </w:rPr>
        <w:t xml:space="preserve"> weekends of September – these must be event free. </w:t>
      </w:r>
    </w:p>
    <w:p w:rsidR="002D629F" w:rsidRDefault="002D629F" w:rsidP="002D629F">
      <w:pPr>
        <w:spacing w:after="0" w:line="240" w:lineRule="auto"/>
        <w:rPr>
          <w:b/>
          <w:sz w:val="24"/>
          <w:szCs w:val="24"/>
        </w:rPr>
      </w:pPr>
    </w:p>
    <w:p w:rsidR="002D629F" w:rsidRDefault="00FB33B9" w:rsidP="002D629F">
      <w:pPr>
        <w:spacing w:after="0" w:line="240" w:lineRule="auto"/>
        <w:rPr>
          <w:sz w:val="24"/>
          <w:szCs w:val="24"/>
        </w:rPr>
      </w:pPr>
      <w:r w:rsidRPr="002D629F">
        <w:rPr>
          <w:b/>
          <w:sz w:val="24"/>
          <w:szCs w:val="24"/>
        </w:rPr>
        <w:t>Number of Events</w:t>
      </w:r>
      <w:r w:rsidR="002D62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B33B9" w:rsidRDefault="00FB33B9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Only one main event should take pla</w:t>
      </w:r>
      <w:r w:rsidR="002D629F">
        <w:rPr>
          <w:sz w:val="24"/>
          <w:szCs w:val="24"/>
        </w:rPr>
        <w:t>ce on any given week s</w:t>
      </w:r>
      <w:r>
        <w:rPr>
          <w:sz w:val="24"/>
          <w:szCs w:val="24"/>
        </w:rPr>
        <w:t>o contact the AONB service well in advance (</w:t>
      </w:r>
      <w:r w:rsidR="006931D5">
        <w:rPr>
          <w:sz w:val="24"/>
          <w:szCs w:val="24"/>
        </w:rPr>
        <w:t xml:space="preserve">minimum </w:t>
      </w:r>
      <w:r w:rsidR="00202927">
        <w:rPr>
          <w:sz w:val="24"/>
          <w:szCs w:val="24"/>
        </w:rPr>
        <w:t xml:space="preserve">of </w:t>
      </w:r>
      <w:r>
        <w:rPr>
          <w:sz w:val="24"/>
          <w:szCs w:val="24"/>
        </w:rPr>
        <w:t>8 w</w:t>
      </w:r>
      <w:r w:rsidR="002D629F">
        <w:rPr>
          <w:sz w:val="24"/>
          <w:szCs w:val="24"/>
        </w:rPr>
        <w:t>ee</w:t>
      </w:r>
      <w:r>
        <w:rPr>
          <w:sz w:val="24"/>
          <w:szCs w:val="24"/>
        </w:rPr>
        <w:t>ks).</w:t>
      </w:r>
    </w:p>
    <w:p w:rsidR="002D629F" w:rsidRDefault="002D629F" w:rsidP="002D629F">
      <w:pPr>
        <w:spacing w:after="0" w:line="240" w:lineRule="auto"/>
        <w:rPr>
          <w:sz w:val="24"/>
          <w:szCs w:val="24"/>
        </w:rPr>
      </w:pPr>
    </w:p>
    <w:p w:rsidR="002D629F" w:rsidRDefault="00FB33B9" w:rsidP="002D629F">
      <w:pPr>
        <w:spacing w:after="0" w:line="240" w:lineRule="auto"/>
        <w:rPr>
          <w:sz w:val="24"/>
          <w:szCs w:val="24"/>
        </w:rPr>
      </w:pPr>
      <w:r w:rsidRPr="002D629F">
        <w:rPr>
          <w:b/>
          <w:sz w:val="24"/>
          <w:szCs w:val="24"/>
        </w:rPr>
        <w:lastRenderedPageBreak/>
        <w:t>Size of Events</w:t>
      </w:r>
      <w:r w:rsidR="002D629F">
        <w:rPr>
          <w:sz w:val="24"/>
          <w:szCs w:val="24"/>
        </w:rPr>
        <w:t xml:space="preserve"> </w:t>
      </w:r>
    </w:p>
    <w:p w:rsidR="002D629F" w:rsidRDefault="002D629F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FB33B9">
        <w:rPr>
          <w:sz w:val="24"/>
          <w:szCs w:val="24"/>
        </w:rPr>
        <w:t xml:space="preserve">his will depend on the type of event, ground conditions and where it </w:t>
      </w:r>
      <w:r>
        <w:rPr>
          <w:sz w:val="24"/>
          <w:szCs w:val="24"/>
        </w:rPr>
        <w:t>would</w:t>
      </w:r>
      <w:r w:rsidR="00FB33B9">
        <w:rPr>
          <w:sz w:val="24"/>
          <w:szCs w:val="24"/>
        </w:rPr>
        <w:t xml:space="preserve"> be held, but excessive numbers of participants and/or spectators should be avoided in this small fragile area.  </w:t>
      </w:r>
    </w:p>
    <w:p w:rsidR="002D629F" w:rsidRDefault="002D629F" w:rsidP="002D629F">
      <w:pPr>
        <w:spacing w:after="0" w:line="240" w:lineRule="auto"/>
        <w:rPr>
          <w:sz w:val="24"/>
          <w:szCs w:val="24"/>
        </w:rPr>
      </w:pPr>
    </w:p>
    <w:p w:rsidR="002D629F" w:rsidRPr="002D629F" w:rsidRDefault="002D629F" w:rsidP="002D629F">
      <w:pPr>
        <w:spacing w:after="0" w:line="240" w:lineRule="auto"/>
        <w:rPr>
          <w:b/>
          <w:sz w:val="24"/>
          <w:szCs w:val="24"/>
        </w:rPr>
      </w:pPr>
      <w:r w:rsidRPr="002D629F">
        <w:rPr>
          <w:b/>
          <w:sz w:val="24"/>
          <w:szCs w:val="24"/>
        </w:rPr>
        <w:t>Quiet Areas</w:t>
      </w:r>
    </w:p>
    <w:p w:rsidR="00FB33B9" w:rsidRDefault="00FB33B9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parts of the Quantocks are relatively undisturbed and will remain so.</w:t>
      </w:r>
      <w:r w:rsidR="006931D5">
        <w:rPr>
          <w:sz w:val="24"/>
          <w:szCs w:val="24"/>
        </w:rPr>
        <w:t xml:space="preserve"> Events will not be supported in these areas and should be avoided.</w:t>
      </w:r>
      <w:r>
        <w:rPr>
          <w:sz w:val="24"/>
          <w:szCs w:val="24"/>
        </w:rPr>
        <w:t xml:space="preserve"> </w:t>
      </w:r>
    </w:p>
    <w:p w:rsidR="006931D5" w:rsidRDefault="006931D5" w:rsidP="006931D5">
      <w:pPr>
        <w:spacing w:after="0" w:line="240" w:lineRule="auto"/>
        <w:rPr>
          <w:b/>
          <w:sz w:val="24"/>
          <w:szCs w:val="24"/>
        </w:rPr>
      </w:pPr>
    </w:p>
    <w:p w:rsidR="002D629F" w:rsidRDefault="00FB33B9" w:rsidP="002D629F">
      <w:pPr>
        <w:spacing w:after="0" w:line="240" w:lineRule="auto"/>
        <w:ind w:left="1440" w:hanging="1440"/>
        <w:rPr>
          <w:sz w:val="24"/>
          <w:szCs w:val="24"/>
        </w:rPr>
      </w:pPr>
      <w:r w:rsidRPr="002D629F">
        <w:rPr>
          <w:b/>
          <w:sz w:val="24"/>
          <w:szCs w:val="24"/>
        </w:rPr>
        <w:t>Access</w:t>
      </w:r>
      <w:r w:rsidR="002D629F">
        <w:rPr>
          <w:sz w:val="24"/>
          <w:szCs w:val="24"/>
        </w:rPr>
        <w:t xml:space="preserve"> </w:t>
      </w:r>
    </w:p>
    <w:p w:rsidR="006931D5" w:rsidRDefault="00FB33B9" w:rsidP="009643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64333">
        <w:rPr>
          <w:sz w:val="24"/>
          <w:szCs w:val="24"/>
        </w:rPr>
        <w:t>Events should use public rights of way which are appropriate to t</w:t>
      </w:r>
      <w:r w:rsidR="002D629F" w:rsidRPr="00964333">
        <w:rPr>
          <w:sz w:val="24"/>
          <w:szCs w:val="24"/>
        </w:rPr>
        <w:t xml:space="preserve">he proposed use. </w:t>
      </w:r>
    </w:p>
    <w:p w:rsidR="00964333" w:rsidRPr="00964333" w:rsidRDefault="002D629F" w:rsidP="009643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64333">
        <w:rPr>
          <w:sz w:val="24"/>
          <w:szCs w:val="24"/>
        </w:rPr>
        <w:t>O</w:t>
      </w:r>
      <w:r w:rsidR="00FB33B9" w:rsidRPr="00964333">
        <w:rPr>
          <w:sz w:val="24"/>
          <w:szCs w:val="24"/>
        </w:rPr>
        <w:t>rganisers should ensure that there are su</w:t>
      </w:r>
      <w:r w:rsidRPr="00964333">
        <w:rPr>
          <w:sz w:val="24"/>
          <w:szCs w:val="24"/>
        </w:rPr>
        <w:t>fficient parking arrangements</w:t>
      </w:r>
      <w:r w:rsidR="006931D5">
        <w:rPr>
          <w:sz w:val="24"/>
          <w:szCs w:val="24"/>
        </w:rPr>
        <w:t xml:space="preserve"> and need to consider the</w:t>
      </w:r>
      <w:r w:rsidR="00905883">
        <w:rPr>
          <w:sz w:val="24"/>
          <w:szCs w:val="24"/>
        </w:rPr>
        <w:t xml:space="preserve"> requirements</w:t>
      </w:r>
      <w:r w:rsidR="00202927">
        <w:rPr>
          <w:sz w:val="24"/>
          <w:szCs w:val="24"/>
        </w:rPr>
        <w:t xml:space="preserve"> </w:t>
      </w:r>
      <w:r w:rsidR="006931D5">
        <w:rPr>
          <w:sz w:val="24"/>
          <w:szCs w:val="24"/>
        </w:rPr>
        <w:t>of visitors also accessing the hills</w:t>
      </w:r>
      <w:r w:rsidRPr="00964333">
        <w:rPr>
          <w:sz w:val="24"/>
          <w:szCs w:val="24"/>
        </w:rPr>
        <w:t>.</w:t>
      </w:r>
    </w:p>
    <w:p w:rsidR="00964333" w:rsidRDefault="00FB33B9" w:rsidP="009643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64333">
        <w:rPr>
          <w:sz w:val="24"/>
          <w:szCs w:val="24"/>
        </w:rPr>
        <w:t>Most of the Quantock Hills</w:t>
      </w:r>
      <w:r w:rsidR="00905883">
        <w:rPr>
          <w:sz w:val="24"/>
          <w:szCs w:val="24"/>
        </w:rPr>
        <w:t xml:space="preserve"> land</w:t>
      </w:r>
      <w:r w:rsidRPr="00964333">
        <w:rPr>
          <w:sz w:val="24"/>
          <w:szCs w:val="24"/>
        </w:rPr>
        <w:t xml:space="preserve"> is privately owned.  Remember to notify and gain permission from landowners (an additional cost may be incurred)</w:t>
      </w:r>
      <w:r w:rsidR="00905883">
        <w:rPr>
          <w:sz w:val="24"/>
          <w:szCs w:val="24"/>
        </w:rPr>
        <w:t>.</w:t>
      </w:r>
      <w:r w:rsidRPr="00964333">
        <w:rPr>
          <w:sz w:val="24"/>
          <w:szCs w:val="24"/>
        </w:rPr>
        <w:t xml:space="preserve"> </w:t>
      </w:r>
    </w:p>
    <w:p w:rsidR="00964333" w:rsidRDefault="00964333" w:rsidP="009643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2D629F" w:rsidRPr="00964333">
        <w:rPr>
          <w:sz w:val="24"/>
          <w:szCs w:val="24"/>
        </w:rPr>
        <w:t>rienteering</w:t>
      </w:r>
      <w:r w:rsidR="00FB33B9" w:rsidRPr="00964333">
        <w:rPr>
          <w:sz w:val="24"/>
          <w:szCs w:val="24"/>
        </w:rPr>
        <w:t xml:space="preserve"> </w:t>
      </w:r>
      <w:r w:rsidR="00905883">
        <w:rPr>
          <w:sz w:val="24"/>
          <w:szCs w:val="24"/>
        </w:rPr>
        <w:t xml:space="preserve">and similar </w:t>
      </w:r>
      <w:r w:rsidR="00FB33B9" w:rsidRPr="00964333">
        <w:rPr>
          <w:sz w:val="24"/>
          <w:szCs w:val="24"/>
        </w:rPr>
        <w:t>events will not be permitted between 1</w:t>
      </w:r>
      <w:r w:rsidR="00FB33B9" w:rsidRPr="00964333">
        <w:rPr>
          <w:sz w:val="24"/>
          <w:szCs w:val="24"/>
          <w:vertAlign w:val="superscript"/>
        </w:rPr>
        <w:t>st</w:t>
      </w:r>
      <w:r w:rsidR="00FB33B9" w:rsidRPr="00964333">
        <w:rPr>
          <w:sz w:val="24"/>
          <w:szCs w:val="24"/>
        </w:rPr>
        <w:t xml:space="preserve"> April and 31</w:t>
      </w:r>
      <w:r w:rsidR="00FB33B9" w:rsidRPr="00964333">
        <w:rPr>
          <w:sz w:val="24"/>
          <w:szCs w:val="24"/>
          <w:vertAlign w:val="superscript"/>
        </w:rPr>
        <w:t>st</w:t>
      </w:r>
      <w:r w:rsidR="00FB33B9" w:rsidRPr="00964333">
        <w:rPr>
          <w:sz w:val="24"/>
          <w:szCs w:val="24"/>
        </w:rPr>
        <w:t xml:space="preserve"> July to avoid disturbance to wildlife. </w:t>
      </w:r>
    </w:p>
    <w:p w:rsidR="00202927" w:rsidRDefault="00FB33B9" w:rsidP="009643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64333">
        <w:rPr>
          <w:sz w:val="24"/>
          <w:szCs w:val="24"/>
        </w:rPr>
        <w:t>Please inform any residents that live along the proposed routes.</w:t>
      </w:r>
    </w:p>
    <w:p w:rsidR="002D629F" w:rsidRPr="00964333" w:rsidRDefault="00FB33B9" w:rsidP="00202927">
      <w:pPr>
        <w:pStyle w:val="ListParagraph"/>
        <w:spacing w:after="0" w:line="240" w:lineRule="auto"/>
        <w:rPr>
          <w:sz w:val="24"/>
          <w:szCs w:val="24"/>
        </w:rPr>
      </w:pPr>
      <w:r w:rsidRPr="00964333">
        <w:rPr>
          <w:sz w:val="24"/>
          <w:szCs w:val="24"/>
        </w:rPr>
        <w:t xml:space="preserve"> </w:t>
      </w:r>
    </w:p>
    <w:p w:rsidR="00964333" w:rsidRDefault="006608E4" w:rsidP="002D629F">
      <w:pPr>
        <w:spacing w:after="0" w:line="240" w:lineRule="auto"/>
        <w:ind w:left="1440" w:hanging="1440"/>
        <w:rPr>
          <w:sz w:val="24"/>
          <w:szCs w:val="24"/>
        </w:rPr>
      </w:pPr>
      <w:r w:rsidRPr="002D629F">
        <w:rPr>
          <w:b/>
          <w:sz w:val="24"/>
          <w:szCs w:val="24"/>
        </w:rPr>
        <w:t>Insurance</w:t>
      </w:r>
      <w:r w:rsidR="002D629F">
        <w:rPr>
          <w:sz w:val="24"/>
          <w:szCs w:val="24"/>
        </w:rPr>
        <w:t xml:space="preserve"> </w:t>
      </w:r>
      <w:r w:rsidR="002D629F">
        <w:rPr>
          <w:sz w:val="24"/>
          <w:szCs w:val="24"/>
        </w:rPr>
        <w:tab/>
      </w:r>
    </w:p>
    <w:p w:rsidR="00964333" w:rsidRDefault="00FB33B9" w:rsidP="0096433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64333">
        <w:rPr>
          <w:sz w:val="24"/>
          <w:szCs w:val="24"/>
        </w:rPr>
        <w:t xml:space="preserve">Please ensure all events have suitable insurance. </w:t>
      </w:r>
    </w:p>
    <w:p w:rsidR="00964333" w:rsidRDefault="006608E4" w:rsidP="0096433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64333">
        <w:rPr>
          <w:sz w:val="24"/>
          <w:szCs w:val="24"/>
        </w:rPr>
        <w:t xml:space="preserve">We strongly recommend event organisers undertake a full risk assessment. </w:t>
      </w:r>
    </w:p>
    <w:p w:rsidR="006608E4" w:rsidRPr="00964333" w:rsidRDefault="006608E4" w:rsidP="0096433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64333">
        <w:rPr>
          <w:sz w:val="24"/>
          <w:szCs w:val="24"/>
        </w:rPr>
        <w:t xml:space="preserve">The AONB Service does not support the use of motorised vehicles off metalled roads other than for emergencies and hill management purposes. </w:t>
      </w:r>
    </w:p>
    <w:p w:rsidR="00964333" w:rsidRDefault="00964333" w:rsidP="002D629F">
      <w:pPr>
        <w:spacing w:after="0" w:line="240" w:lineRule="auto"/>
        <w:rPr>
          <w:b/>
          <w:sz w:val="24"/>
          <w:szCs w:val="24"/>
        </w:rPr>
      </w:pPr>
    </w:p>
    <w:p w:rsidR="006608E4" w:rsidRDefault="006608E4" w:rsidP="002D629F">
      <w:pPr>
        <w:spacing w:after="0" w:line="240" w:lineRule="auto"/>
        <w:rPr>
          <w:sz w:val="24"/>
          <w:szCs w:val="24"/>
        </w:rPr>
      </w:pPr>
      <w:r w:rsidRPr="002D629F">
        <w:rPr>
          <w:b/>
          <w:sz w:val="24"/>
          <w:szCs w:val="24"/>
        </w:rPr>
        <w:t>Other useful contacts</w:t>
      </w:r>
      <w:r w:rsidR="002D629F">
        <w:rPr>
          <w:sz w:val="24"/>
          <w:szCs w:val="24"/>
        </w:rPr>
        <w:t xml:space="preserve"> – N</w:t>
      </w:r>
      <w:r>
        <w:rPr>
          <w:sz w:val="24"/>
          <w:szCs w:val="24"/>
        </w:rPr>
        <w:t xml:space="preserve">ational Trust 01823 451814, </w:t>
      </w:r>
      <w:r w:rsidR="002D629F">
        <w:rPr>
          <w:sz w:val="24"/>
          <w:szCs w:val="24"/>
        </w:rPr>
        <w:t>F</w:t>
      </w:r>
      <w:r>
        <w:rPr>
          <w:sz w:val="24"/>
          <w:szCs w:val="24"/>
        </w:rPr>
        <w:t>orestry Commission 01278 732319</w:t>
      </w:r>
    </w:p>
    <w:p w:rsidR="00982D38" w:rsidRDefault="00982D38" w:rsidP="00982D38">
      <w:pPr>
        <w:spacing w:after="0" w:line="240" w:lineRule="auto"/>
        <w:rPr>
          <w:b/>
          <w:sz w:val="28"/>
          <w:szCs w:val="28"/>
        </w:rPr>
      </w:pPr>
    </w:p>
    <w:p w:rsidR="00982D38" w:rsidRPr="002C1AD0" w:rsidRDefault="00982D38" w:rsidP="00982D38">
      <w:pPr>
        <w:spacing w:after="0" w:line="240" w:lineRule="auto"/>
        <w:rPr>
          <w:b/>
          <w:sz w:val="28"/>
          <w:szCs w:val="28"/>
        </w:rPr>
      </w:pPr>
      <w:r w:rsidRPr="002C1AD0">
        <w:rPr>
          <w:b/>
          <w:sz w:val="28"/>
          <w:szCs w:val="28"/>
        </w:rPr>
        <w:t>PLEASE CONTACT THE AONB SERVICE WELL IN ADVANCE TO SEEK ADVICE AND GUIDANCE.</w:t>
      </w:r>
    </w:p>
    <w:p w:rsidR="00982D38" w:rsidRPr="002C1AD0" w:rsidRDefault="00982D38" w:rsidP="00982D38">
      <w:pPr>
        <w:spacing w:after="0" w:line="240" w:lineRule="auto"/>
        <w:rPr>
          <w:b/>
          <w:sz w:val="28"/>
          <w:szCs w:val="28"/>
        </w:rPr>
      </w:pPr>
      <w:r w:rsidRPr="002C1AD0">
        <w:rPr>
          <w:b/>
          <w:sz w:val="28"/>
          <w:szCs w:val="28"/>
        </w:rPr>
        <w:t>Telephone 01823 451884</w:t>
      </w:r>
    </w:p>
    <w:p w:rsidR="00982D38" w:rsidRPr="002C1AD0" w:rsidRDefault="00982D38" w:rsidP="00982D38">
      <w:pPr>
        <w:spacing w:after="0" w:line="240" w:lineRule="auto"/>
        <w:rPr>
          <w:b/>
          <w:sz w:val="28"/>
          <w:szCs w:val="28"/>
        </w:rPr>
      </w:pPr>
      <w:r w:rsidRPr="002C1AD0">
        <w:rPr>
          <w:b/>
          <w:sz w:val="28"/>
          <w:szCs w:val="28"/>
        </w:rPr>
        <w:t>Email quantockhills@somerset.gov.uk</w:t>
      </w:r>
    </w:p>
    <w:p w:rsidR="00964333" w:rsidRDefault="00964333" w:rsidP="002D629F">
      <w:pPr>
        <w:spacing w:after="0" w:line="240" w:lineRule="auto"/>
        <w:rPr>
          <w:sz w:val="24"/>
          <w:szCs w:val="24"/>
        </w:rPr>
      </w:pPr>
    </w:p>
    <w:p w:rsidR="006931D5" w:rsidRDefault="00B050BF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AONB Service is funded by: </w:t>
      </w:r>
    </w:p>
    <w:p w:rsidR="00B050BF" w:rsidRDefault="00B050BF" w:rsidP="002D629F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561960" cy="5619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unton_Deane_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765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2095498" cy="4762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gemoor D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030124" cy="923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 Somerset D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786" cy="92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0BF" w:rsidRDefault="00B050BF" w:rsidP="002D629F">
      <w:pPr>
        <w:spacing w:after="0" w:line="240" w:lineRule="auto"/>
        <w:rPr>
          <w:sz w:val="24"/>
          <w:szCs w:val="24"/>
        </w:rPr>
      </w:pPr>
    </w:p>
    <w:p w:rsidR="00B050BF" w:rsidRDefault="00D3715D" w:rsidP="002D62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B050BF">
        <w:rPr>
          <w:noProof/>
          <w:sz w:val="24"/>
          <w:szCs w:val="24"/>
          <w:lang w:eastAsia="en-GB"/>
        </w:rPr>
        <w:drawing>
          <wp:inline distT="0" distB="0" distL="0" distR="0">
            <wp:extent cx="752475" cy="12646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C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6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50BF">
        <w:rPr>
          <w:sz w:val="24"/>
          <w:szCs w:val="24"/>
        </w:rPr>
        <w:t xml:space="preserve">           </w:t>
      </w:r>
      <w:r w:rsidR="00B050BF">
        <w:rPr>
          <w:noProof/>
          <w:sz w:val="24"/>
          <w:szCs w:val="24"/>
          <w:lang w:eastAsia="en-GB"/>
        </w:rPr>
        <w:drawing>
          <wp:inline distT="0" distB="0" distL="0" distR="0">
            <wp:extent cx="1390650" cy="1085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r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333" w:rsidRPr="00982D38" w:rsidRDefault="00964333" w:rsidP="002D629F">
      <w:pPr>
        <w:spacing w:after="0" w:line="240" w:lineRule="auto"/>
        <w:rPr>
          <w:b/>
          <w:color w:val="1F497D" w:themeColor="text2"/>
          <w:sz w:val="40"/>
          <w:szCs w:val="40"/>
        </w:rPr>
      </w:pPr>
      <w:r w:rsidRPr="00982D38">
        <w:rPr>
          <w:b/>
          <w:color w:val="1F497D" w:themeColor="text2"/>
          <w:sz w:val="40"/>
          <w:szCs w:val="40"/>
        </w:rPr>
        <w:lastRenderedPageBreak/>
        <w:t xml:space="preserve">Notification of Event </w:t>
      </w:r>
    </w:p>
    <w:p w:rsidR="00964333" w:rsidRPr="00982D38" w:rsidRDefault="00964333" w:rsidP="002D629F">
      <w:pPr>
        <w:spacing w:after="0" w:line="240" w:lineRule="auto"/>
        <w:rPr>
          <w:b/>
          <w:sz w:val="32"/>
          <w:szCs w:val="32"/>
        </w:rPr>
      </w:pPr>
      <w:r w:rsidRPr="00982D38">
        <w:rPr>
          <w:b/>
          <w:sz w:val="32"/>
          <w:szCs w:val="32"/>
        </w:rPr>
        <w:t xml:space="preserve">Name of Group Organisers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964333" w:rsidTr="00964333">
        <w:tc>
          <w:tcPr>
            <w:tcW w:w="3085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Name </w:t>
            </w:r>
          </w:p>
        </w:tc>
        <w:tc>
          <w:tcPr>
            <w:tcW w:w="6157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</w:tc>
      </w:tr>
      <w:tr w:rsidR="00964333" w:rsidTr="00964333">
        <w:tc>
          <w:tcPr>
            <w:tcW w:w="3085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157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</w:tc>
      </w:tr>
      <w:tr w:rsidR="00964333" w:rsidTr="00964333">
        <w:tc>
          <w:tcPr>
            <w:tcW w:w="3085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Postcode </w:t>
            </w:r>
          </w:p>
        </w:tc>
        <w:tc>
          <w:tcPr>
            <w:tcW w:w="6157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</w:tc>
      </w:tr>
      <w:tr w:rsidR="00964333" w:rsidTr="00964333">
        <w:tc>
          <w:tcPr>
            <w:tcW w:w="3085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telephone number </w:t>
            </w:r>
          </w:p>
        </w:tc>
        <w:tc>
          <w:tcPr>
            <w:tcW w:w="6157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</w:tc>
      </w:tr>
      <w:tr w:rsidR="00964333" w:rsidTr="00964333">
        <w:tc>
          <w:tcPr>
            <w:tcW w:w="3085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6157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</w:tc>
      </w:tr>
    </w:tbl>
    <w:p w:rsidR="00964333" w:rsidRDefault="00964333" w:rsidP="002D629F">
      <w:pPr>
        <w:spacing w:after="0" w:line="240" w:lineRule="auto"/>
        <w:rPr>
          <w:b/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b/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b/>
          <w:sz w:val="24"/>
          <w:szCs w:val="24"/>
        </w:rPr>
      </w:pPr>
    </w:p>
    <w:p w:rsidR="00964333" w:rsidRPr="00982D38" w:rsidRDefault="00964333" w:rsidP="002D629F">
      <w:pPr>
        <w:spacing w:after="0" w:line="240" w:lineRule="auto"/>
        <w:rPr>
          <w:b/>
          <w:sz w:val="32"/>
          <w:szCs w:val="32"/>
        </w:rPr>
      </w:pPr>
      <w:r w:rsidRPr="00982D38">
        <w:rPr>
          <w:b/>
          <w:sz w:val="32"/>
          <w:szCs w:val="32"/>
        </w:rPr>
        <w:t xml:space="preserve">Type of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964333" w:rsidTr="00B738AD">
        <w:tc>
          <w:tcPr>
            <w:tcW w:w="3085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are you planning </w:t>
            </w:r>
          </w:p>
        </w:tc>
        <w:tc>
          <w:tcPr>
            <w:tcW w:w="6157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</w:tc>
      </w:tr>
      <w:tr w:rsidR="00964333" w:rsidTr="00B738AD">
        <w:tc>
          <w:tcPr>
            <w:tcW w:w="3085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Description of event </w:t>
            </w:r>
          </w:p>
        </w:tc>
        <w:tc>
          <w:tcPr>
            <w:tcW w:w="6157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</w:tc>
      </w:tr>
      <w:tr w:rsidR="00964333" w:rsidTr="00B738AD">
        <w:tc>
          <w:tcPr>
            <w:tcW w:w="3085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name and number on the day</w:t>
            </w:r>
          </w:p>
        </w:tc>
        <w:tc>
          <w:tcPr>
            <w:tcW w:w="6157" w:type="dxa"/>
          </w:tcPr>
          <w:p w:rsidR="00964333" w:rsidRDefault="00964333" w:rsidP="002D629F">
            <w:pPr>
              <w:rPr>
                <w:b/>
                <w:sz w:val="24"/>
                <w:szCs w:val="24"/>
              </w:rPr>
            </w:pPr>
          </w:p>
        </w:tc>
      </w:tr>
    </w:tbl>
    <w:p w:rsidR="00964333" w:rsidRPr="00202927" w:rsidRDefault="00964333" w:rsidP="002D629F">
      <w:pPr>
        <w:spacing w:after="0" w:line="240" w:lineRule="auto"/>
        <w:rPr>
          <w:b/>
          <w:sz w:val="24"/>
          <w:szCs w:val="24"/>
        </w:rPr>
      </w:pPr>
    </w:p>
    <w:p w:rsidR="00202927" w:rsidRPr="00202927" w:rsidRDefault="00202927" w:rsidP="002D629F">
      <w:pPr>
        <w:spacing w:after="0" w:line="240" w:lineRule="auto"/>
        <w:rPr>
          <w:b/>
          <w:sz w:val="24"/>
          <w:szCs w:val="24"/>
        </w:rPr>
      </w:pPr>
    </w:p>
    <w:p w:rsidR="00202927" w:rsidRPr="00202927" w:rsidRDefault="00202927" w:rsidP="002D629F">
      <w:pPr>
        <w:spacing w:after="0" w:line="240" w:lineRule="auto"/>
        <w:rPr>
          <w:b/>
          <w:sz w:val="24"/>
          <w:szCs w:val="24"/>
        </w:rPr>
      </w:pPr>
    </w:p>
    <w:p w:rsidR="00964333" w:rsidRPr="00982D38" w:rsidRDefault="00964333" w:rsidP="002D629F">
      <w:pPr>
        <w:spacing w:after="0" w:line="240" w:lineRule="auto"/>
        <w:rPr>
          <w:b/>
          <w:sz w:val="32"/>
          <w:szCs w:val="32"/>
        </w:rPr>
      </w:pPr>
      <w:r w:rsidRPr="00982D38">
        <w:rPr>
          <w:b/>
          <w:sz w:val="32"/>
          <w:szCs w:val="32"/>
        </w:rPr>
        <w:t xml:space="preserve">Date, time, Route/location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B738AD" w:rsidTr="00B738AD">
        <w:tc>
          <w:tcPr>
            <w:tcW w:w="3510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and time of intended event</w:t>
            </w:r>
          </w:p>
        </w:tc>
        <w:tc>
          <w:tcPr>
            <w:tcW w:w="5732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</w:p>
        </w:tc>
      </w:tr>
      <w:tr w:rsidR="00B738AD" w:rsidTr="00B738AD">
        <w:tc>
          <w:tcPr>
            <w:tcW w:w="3510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and finish point (6 figure grid ref and description in words)</w:t>
            </w:r>
          </w:p>
        </w:tc>
        <w:tc>
          <w:tcPr>
            <w:tcW w:w="5732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</w:p>
        </w:tc>
      </w:tr>
      <w:tr w:rsidR="00B738AD" w:rsidTr="00B738AD">
        <w:tc>
          <w:tcPr>
            <w:tcW w:w="3510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Route/Location (can be shown on map)</w:t>
            </w:r>
          </w:p>
        </w:tc>
        <w:tc>
          <w:tcPr>
            <w:tcW w:w="5732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</w:p>
        </w:tc>
      </w:tr>
    </w:tbl>
    <w:p w:rsidR="00964333" w:rsidRDefault="00964333" w:rsidP="002D629F">
      <w:pPr>
        <w:spacing w:after="0" w:line="240" w:lineRule="auto"/>
        <w:rPr>
          <w:b/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b/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b/>
          <w:sz w:val="24"/>
          <w:szCs w:val="24"/>
        </w:rPr>
      </w:pPr>
    </w:p>
    <w:p w:rsidR="00B738AD" w:rsidRPr="00982D38" w:rsidRDefault="001578AC" w:rsidP="002D629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Number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B738AD" w:rsidTr="00B738AD">
        <w:tc>
          <w:tcPr>
            <w:tcW w:w="1668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Participants</w:t>
            </w:r>
          </w:p>
        </w:tc>
        <w:tc>
          <w:tcPr>
            <w:tcW w:w="7574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</w:p>
        </w:tc>
      </w:tr>
      <w:tr w:rsidR="00B738AD" w:rsidTr="00B738AD">
        <w:tc>
          <w:tcPr>
            <w:tcW w:w="1668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Spectators</w:t>
            </w:r>
          </w:p>
        </w:tc>
        <w:tc>
          <w:tcPr>
            <w:tcW w:w="7574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</w:p>
        </w:tc>
      </w:tr>
      <w:tr w:rsidR="00B738AD" w:rsidTr="00B738AD">
        <w:tc>
          <w:tcPr>
            <w:tcW w:w="1668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Marshals</w:t>
            </w:r>
          </w:p>
        </w:tc>
        <w:tc>
          <w:tcPr>
            <w:tcW w:w="7574" w:type="dxa"/>
          </w:tcPr>
          <w:p w:rsidR="00B738AD" w:rsidRDefault="00B738AD" w:rsidP="002D629F">
            <w:pPr>
              <w:rPr>
                <w:b/>
                <w:sz w:val="24"/>
                <w:szCs w:val="24"/>
              </w:rPr>
            </w:pPr>
          </w:p>
        </w:tc>
      </w:tr>
    </w:tbl>
    <w:p w:rsidR="00B738AD" w:rsidRDefault="00B738AD" w:rsidP="002D629F">
      <w:pPr>
        <w:spacing w:after="0" w:line="240" w:lineRule="auto"/>
        <w:rPr>
          <w:b/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b/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b/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b/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b/>
          <w:sz w:val="32"/>
          <w:szCs w:val="32"/>
        </w:rPr>
      </w:pPr>
    </w:p>
    <w:p w:rsidR="00202927" w:rsidRDefault="00202927" w:rsidP="002D629F">
      <w:pPr>
        <w:spacing w:after="0" w:line="240" w:lineRule="auto"/>
        <w:rPr>
          <w:b/>
          <w:sz w:val="32"/>
          <w:szCs w:val="32"/>
        </w:rPr>
      </w:pPr>
    </w:p>
    <w:p w:rsidR="00202927" w:rsidRPr="00202927" w:rsidRDefault="00202927" w:rsidP="002D629F">
      <w:pPr>
        <w:spacing w:after="0" w:line="240" w:lineRule="auto"/>
        <w:rPr>
          <w:b/>
          <w:sz w:val="32"/>
          <w:szCs w:val="32"/>
        </w:rPr>
      </w:pPr>
      <w:r w:rsidRPr="00202927">
        <w:rPr>
          <w:b/>
          <w:sz w:val="32"/>
          <w:szCs w:val="32"/>
        </w:rPr>
        <w:lastRenderedPageBreak/>
        <w:t>Additional Info: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47F06" w:rsidTr="00C47F06">
        <w:tc>
          <w:tcPr>
            <w:tcW w:w="9242" w:type="dxa"/>
          </w:tcPr>
          <w:p w:rsidR="00C47F06" w:rsidRDefault="00B738AD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provision has been made to marshal the event? (all aspects of safety are the event organisers responsibili</w:t>
            </w:r>
            <w:r w:rsidR="00C47F06">
              <w:rPr>
                <w:b/>
                <w:sz w:val="24"/>
                <w:szCs w:val="24"/>
              </w:rPr>
              <w:t>ty)</w:t>
            </w:r>
          </w:p>
          <w:p w:rsidR="00C47F06" w:rsidRDefault="00C47F06" w:rsidP="002D629F">
            <w:pPr>
              <w:rPr>
                <w:b/>
                <w:sz w:val="24"/>
                <w:szCs w:val="24"/>
              </w:rPr>
            </w:pPr>
          </w:p>
        </w:tc>
      </w:tr>
      <w:tr w:rsidR="00C47F06" w:rsidTr="00C47F06">
        <w:tc>
          <w:tcPr>
            <w:tcW w:w="9242" w:type="dxa"/>
          </w:tcPr>
          <w:p w:rsidR="00C47F06" w:rsidRDefault="00C47F06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will safety of participants and public be catered for?</w:t>
            </w:r>
          </w:p>
          <w:p w:rsidR="00C47F06" w:rsidRDefault="00C47F06" w:rsidP="002D629F">
            <w:pPr>
              <w:rPr>
                <w:b/>
                <w:sz w:val="24"/>
                <w:szCs w:val="24"/>
              </w:rPr>
            </w:pPr>
          </w:p>
        </w:tc>
      </w:tr>
      <w:tr w:rsidR="00C47F06" w:rsidTr="00C47F06">
        <w:tc>
          <w:tcPr>
            <w:tcW w:w="9242" w:type="dxa"/>
          </w:tcPr>
          <w:p w:rsidR="00C47F06" w:rsidRDefault="00C47F06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Will a 1</w:t>
            </w:r>
            <w:r w:rsidRPr="00C47F06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aider be ‘on site’?         Y/N</w:t>
            </w:r>
          </w:p>
        </w:tc>
      </w:tr>
      <w:tr w:rsidR="00C47F06" w:rsidTr="00C47F06">
        <w:tc>
          <w:tcPr>
            <w:tcW w:w="9242" w:type="dxa"/>
          </w:tcPr>
          <w:p w:rsidR="00C47F06" w:rsidRDefault="002C1AD0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you intend to have any facilities?  (e.g.  </w:t>
            </w:r>
            <w:r w:rsidR="001578AC">
              <w:rPr>
                <w:b/>
                <w:sz w:val="24"/>
                <w:szCs w:val="24"/>
              </w:rPr>
              <w:t>Hot</w:t>
            </w:r>
            <w:r>
              <w:rPr>
                <w:b/>
                <w:sz w:val="24"/>
                <w:szCs w:val="24"/>
              </w:rPr>
              <w:t xml:space="preserve"> dog, ice cream vendors</w:t>
            </w:r>
            <w:proofErr w:type="gramStart"/>
            <w:r>
              <w:rPr>
                <w:b/>
                <w:sz w:val="24"/>
                <w:szCs w:val="24"/>
              </w:rPr>
              <w:t>)  If</w:t>
            </w:r>
            <w:proofErr w:type="gramEnd"/>
            <w:r>
              <w:rPr>
                <w:b/>
                <w:sz w:val="24"/>
                <w:szCs w:val="24"/>
              </w:rPr>
              <w:t xml:space="preserve"> yes, where?</w:t>
            </w:r>
          </w:p>
          <w:p w:rsidR="002C1AD0" w:rsidRDefault="002C1AD0" w:rsidP="002D629F">
            <w:pPr>
              <w:rPr>
                <w:b/>
                <w:sz w:val="24"/>
                <w:szCs w:val="24"/>
              </w:rPr>
            </w:pPr>
          </w:p>
        </w:tc>
      </w:tr>
      <w:tr w:rsidR="002C1AD0" w:rsidTr="00C47F06">
        <w:tc>
          <w:tcPr>
            <w:tcW w:w="9242" w:type="dxa"/>
          </w:tcPr>
          <w:p w:rsidR="002C1AD0" w:rsidRDefault="002C1AD0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and colour of route markings on the ground (if any).  All way markers must be removed. </w:t>
            </w:r>
          </w:p>
          <w:p w:rsidR="002C1AD0" w:rsidRDefault="002C1AD0" w:rsidP="002D629F">
            <w:pPr>
              <w:rPr>
                <w:b/>
                <w:sz w:val="24"/>
                <w:szCs w:val="24"/>
              </w:rPr>
            </w:pPr>
          </w:p>
        </w:tc>
      </w:tr>
      <w:tr w:rsidR="002C1AD0" w:rsidTr="00C47F06">
        <w:tc>
          <w:tcPr>
            <w:tcW w:w="9242" w:type="dxa"/>
          </w:tcPr>
          <w:p w:rsidR="002C1AD0" w:rsidRDefault="002C1AD0" w:rsidP="001578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Special requests (e.g. erection of tents, checkpoints, support vehicles, assistance with way markers </w:t>
            </w:r>
            <w:r w:rsidR="00982D38">
              <w:rPr>
                <w:b/>
                <w:sz w:val="24"/>
                <w:szCs w:val="24"/>
              </w:rPr>
              <w:t>etc.</w:t>
            </w:r>
            <w:r>
              <w:rPr>
                <w:b/>
                <w:sz w:val="24"/>
                <w:szCs w:val="24"/>
              </w:rPr>
              <w:t xml:space="preserve">) </w:t>
            </w:r>
          </w:p>
          <w:p w:rsidR="001578AC" w:rsidRDefault="001578AC" w:rsidP="001578AC">
            <w:pPr>
              <w:rPr>
                <w:b/>
                <w:sz w:val="24"/>
                <w:szCs w:val="24"/>
              </w:rPr>
            </w:pPr>
          </w:p>
        </w:tc>
      </w:tr>
      <w:tr w:rsidR="002C1AD0" w:rsidTr="00C47F06">
        <w:tc>
          <w:tcPr>
            <w:tcW w:w="9242" w:type="dxa"/>
          </w:tcPr>
          <w:p w:rsidR="002C1AD0" w:rsidRDefault="002C1AD0" w:rsidP="002D62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information (e.g. beneficiary of charity events etc</w:t>
            </w:r>
            <w:r w:rsidR="00982D3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) </w:t>
            </w:r>
          </w:p>
          <w:p w:rsidR="002C1AD0" w:rsidRDefault="002C1AD0" w:rsidP="002D629F">
            <w:pPr>
              <w:rPr>
                <w:b/>
                <w:sz w:val="24"/>
                <w:szCs w:val="24"/>
              </w:rPr>
            </w:pPr>
          </w:p>
          <w:p w:rsidR="002C1AD0" w:rsidRDefault="002C1AD0" w:rsidP="002D629F">
            <w:pPr>
              <w:rPr>
                <w:b/>
                <w:sz w:val="24"/>
                <w:szCs w:val="24"/>
              </w:rPr>
            </w:pPr>
          </w:p>
        </w:tc>
      </w:tr>
    </w:tbl>
    <w:p w:rsidR="00C47F06" w:rsidRPr="00964333" w:rsidRDefault="00C47F06" w:rsidP="002D629F">
      <w:pPr>
        <w:spacing w:after="0" w:line="240" w:lineRule="auto"/>
        <w:rPr>
          <w:b/>
          <w:sz w:val="24"/>
          <w:szCs w:val="24"/>
        </w:rPr>
      </w:pPr>
    </w:p>
    <w:p w:rsidR="002D629F" w:rsidRPr="001578AC" w:rsidRDefault="00982D38" w:rsidP="002D629F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1578AC">
        <w:rPr>
          <w:b/>
          <w:color w:val="1F497D" w:themeColor="text2"/>
          <w:sz w:val="24"/>
          <w:szCs w:val="24"/>
        </w:rPr>
        <w:t xml:space="preserve">THE </w:t>
      </w:r>
      <w:r w:rsidR="002C1AD0" w:rsidRPr="001578AC">
        <w:rPr>
          <w:b/>
          <w:color w:val="1F497D" w:themeColor="text2"/>
          <w:sz w:val="24"/>
          <w:szCs w:val="24"/>
        </w:rPr>
        <w:t xml:space="preserve">AONB SERVICE GUIDANCE AND ADVICE IN RESPECT OF EVENTS ON THE QUANTOCK HILLS REFLECTS GOOD ENVIRONMENTAL PRACTICE.  THE SAFETY AND LEGALITY OF AN EVENT REMAINS </w:t>
      </w:r>
      <w:r w:rsidR="00905883">
        <w:rPr>
          <w:b/>
          <w:color w:val="1F497D" w:themeColor="text2"/>
          <w:sz w:val="24"/>
          <w:szCs w:val="24"/>
        </w:rPr>
        <w:t xml:space="preserve">ENTIRELY </w:t>
      </w:r>
      <w:r w:rsidR="002C1AD0" w:rsidRPr="001578AC">
        <w:rPr>
          <w:b/>
          <w:color w:val="1F497D" w:themeColor="text2"/>
          <w:sz w:val="24"/>
          <w:szCs w:val="24"/>
        </w:rPr>
        <w:t xml:space="preserve">THE RESPONSIBILITY OF EVENT ORGANISERS AND/OR LANDOWNERS. </w:t>
      </w:r>
    </w:p>
    <w:p w:rsidR="002C1AD0" w:rsidRPr="001578AC" w:rsidRDefault="002C1AD0" w:rsidP="002D629F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sz w:val="24"/>
          <w:szCs w:val="24"/>
        </w:rPr>
      </w:pPr>
    </w:p>
    <w:p w:rsidR="00202927" w:rsidRDefault="00202927" w:rsidP="002D629F">
      <w:pPr>
        <w:spacing w:after="0" w:line="240" w:lineRule="auto"/>
        <w:rPr>
          <w:sz w:val="24"/>
          <w:szCs w:val="24"/>
        </w:rPr>
      </w:pPr>
    </w:p>
    <w:p w:rsidR="002C1AD0" w:rsidRPr="00202927" w:rsidRDefault="002C1AD0" w:rsidP="002D629F">
      <w:pPr>
        <w:spacing w:after="0" w:line="240" w:lineRule="auto"/>
        <w:rPr>
          <w:b/>
          <w:sz w:val="24"/>
          <w:szCs w:val="24"/>
        </w:rPr>
      </w:pPr>
      <w:r w:rsidRPr="00202927">
        <w:rPr>
          <w:b/>
          <w:sz w:val="24"/>
          <w:szCs w:val="24"/>
        </w:rPr>
        <w:t xml:space="preserve">Office use only </w:t>
      </w:r>
    </w:p>
    <w:p w:rsidR="002C1AD0" w:rsidRDefault="002C1AD0" w:rsidP="002D629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202927" w:rsidTr="00202927">
        <w:tc>
          <w:tcPr>
            <w:tcW w:w="1809" w:type="dxa"/>
          </w:tcPr>
          <w:p w:rsidR="00202927" w:rsidRDefault="00202927" w:rsidP="002D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received  </w:t>
            </w:r>
          </w:p>
        </w:tc>
        <w:tc>
          <w:tcPr>
            <w:tcW w:w="7433" w:type="dxa"/>
          </w:tcPr>
          <w:p w:rsidR="00202927" w:rsidRDefault="00202927" w:rsidP="002D629F">
            <w:pPr>
              <w:rPr>
                <w:sz w:val="24"/>
                <w:szCs w:val="24"/>
              </w:rPr>
            </w:pPr>
          </w:p>
        </w:tc>
      </w:tr>
      <w:tr w:rsidR="00202927" w:rsidTr="00202927">
        <w:trPr>
          <w:trHeight w:val="1705"/>
        </w:trPr>
        <w:tc>
          <w:tcPr>
            <w:tcW w:w="1809" w:type="dxa"/>
          </w:tcPr>
          <w:p w:rsidR="00202927" w:rsidRDefault="00202927" w:rsidP="002D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  <w:tc>
          <w:tcPr>
            <w:tcW w:w="7433" w:type="dxa"/>
          </w:tcPr>
          <w:p w:rsidR="00202927" w:rsidRDefault="00202927" w:rsidP="002D629F">
            <w:pPr>
              <w:rPr>
                <w:sz w:val="24"/>
                <w:szCs w:val="24"/>
              </w:rPr>
            </w:pPr>
          </w:p>
        </w:tc>
      </w:tr>
    </w:tbl>
    <w:p w:rsidR="006608E4" w:rsidRPr="00D35DA1" w:rsidRDefault="006608E4" w:rsidP="00041673">
      <w:pPr>
        <w:spacing w:after="0" w:line="240" w:lineRule="auto"/>
        <w:rPr>
          <w:sz w:val="24"/>
          <w:szCs w:val="24"/>
        </w:rPr>
      </w:pPr>
    </w:p>
    <w:sectPr w:rsidR="006608E4" w:rsidRPr="00D35DA1" w:rsidSect="00982D38"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BF" w:rsidRDefault="00B050BF" w:rsidP="002D629F">
      <w:pPr>
        <w:spacing w:after="0" w:line="240" w:lineRule="auto"/>
      </w:pPr>
      <w:r>
        <w:separator/>
      </w:r>
    </w:p>
  </w:endnote>
  <w:endnote w:type="continuationSeparator" w:id="0">
    <w:p w:rsidR="00B050BF" w:rsidRDefault="00B050BF" w:rsidP="002D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BF" w:rsidRDefault="00B050BF" w:rsidP="002D629F">
      <w:pPr>
        <w:spacing w:after="0" w:line="240" w:lineRule="auto"/>
      </w:pPr>
      <w:r>
        <w:separator/>
      </w:r>
    </w:p>
  </w:footnote>
  <w:footnote w:type="continuationSeparator" w:id="0">
    <w:p w:rsidR="00B050BF" w:rsidRDefault="00B050BF" w:rsidP="002D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BF" w:rsidRDefault="00B050BF" w:rsidP="0020292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C6EB00D" wp14:editId="7D64BD9B">
          <wp:extent cx="2639092" cy="787400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ntock Logo Stra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005" cy="786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1E86"/>
    <w:multiLevelType w:val="hybridMultilevel"/>
    <w:tmpl w:val="798AFEA6"/>
    <w:lvl w:ilvl="0" w:tplc="40660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B25AC"/>
    <w:multiLevelType w:val="hybridMultilevel"/>
    <w:tmpl w:val="FD985106"/>
    <w:lvl w:ilvl="0" w:tplc="40660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F1D21"/>
    <w:multiLevelType w:val="hybridMultilevel"/>
    <w:tmpl w:val="491C2294"/>
    <w:lvl w:ilvl="0" w:tplc="40660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A1"/>
    <w:rsid w:val="00041673"/>
    <w:rsid w:val="000D0668"/>
    <w:rsid w:val="00157897"/>
    <w:rsid w:val="001578AC"/>
    <w:rsid w:val="00202927"/>
    <w:rsid w:val="002C1AD0"/>
    <w:rsid w:val="002D629F"/>
    <w:rsid w:val="005C0FFB"/>
    <w:rsid w:val="006608E4"/>
    <w:rsid w:val="006931D5"/>
    <w:rsid w:val="00905883"/>
    <w:rsid w:val="00964333"/>
    <w:rsid w:val="00982D38"/>
    <w:rsid w:val="00A62A77"/>
    <w:rsid w:val="00B050BF"/>
    <w:rsid w:val="00B738AD"/>
    <w:rsid w:val="00B8533D"/>
    <w:rsid w:val="00C47F06"/>
    <w:rsid w:val="00D32EC2"/>
    <w:rsid w:val="00D35DA1"/>
    <w:rsid w:val="00D3715D"/>
    <w:rsid w:val="00FB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2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2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29F"/>
  </w:style>
  <w:style w:type="paragraph" w:styleId="Footer">
    <w:name w:val="footer"/>
    <w:basedOn w:val="Normal"/>
    <w:link w:val="FooterChar"/>
    <w:uiPriority w:val="99"/>
    <w:unhideWhenUsed/>
    <w:rsid w:val="002D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29F"/>
  </w:style>
  <w:style w:type="table" w:styleId="TableGrid">
    <w:name w:val="Table Grid"/>
    <w:basedOn w:val="TableNormal"/>
    <w:uiPriority w:val="59"/>
    <w:rsid w:val="00964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2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2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29F"/>
  </w:style>
  <w:style w:type="paragraph" w:styleId="Footer">
    <w:name w:val="footer"/>
    <w:basedOn w:val="Normal"/>
    <w:link w:val="FooterChar"/>
    <w:uiPriority w:val="99"/>
    <w:unhideWhenUsed/>
    <w:rsid w:val="002D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29F"/>
  </w:style>
  <w:style w:type="table" w:styleId="TableGrid">
    <w:name w:val="Table Grid"/>
    <w:basedOn w:val="TableNormal"/>
    <w:uiPriority w:val="59"/>
    <w:rsid w:val="00964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quantockhills@somerset.gov.uk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BAE3-12D8-4224-A3F7-2BDE04B9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 Ltd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Coate</dc:creator>
  <cp:lastModifiedBy>Katy Coate</cp:lastModifiedBy>
  <cp:revision>6</cp:revision>
  <dcterms:created xsi:type="dcterms:W3CDTF">2015-05-12T12:59:00Z</dcterms:created>
  <dcterms:modified xsi:type="dcterms:W3CDTF">2015-06-08T11:59:00Z</dcterms:modified>
</cp:coreProperties>
</file>